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0B79A1" w:rsidTr="00FA78FF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B79A1" w:rsidRDefault="000B79A1" w:rsidP="00FA78FF">
            <w:pPr>
              <w:ind w:left="-119" w:right="-108" w:firstLine="119"/>
              <w:rPr>
                <w:rFonts w:ascii="Century Bash" w:eastAsia="Calibri" w:hAnsi="Century Bash"/>
                <w:b/>
                <w:lang w:eastAsia="en-US"/>
              </w:rPr>
            </w:pPr>
            <w:r>
              <w:rPr>
                <w:rFonts w:ascii="Century Bash" w:eastAsia="Calibri" w:hAnsi="Century Bash"/>
                <w:b/>
              </w:rPr>
              <w:t>БАШ</w:t>
            </w:r>
            <w:r>
              <w:rPr>
                <w:rFonts w:eastAsia="Calibri"/>
                <w:b/>
                <w:lang w:val="ba-RU"/>
              </w:rPr>
              <w:t>Ҡ</w:t>
            </w:r>
            <w:r>
              <w:rPr>
                <w:rFonts w:ascii="Century Bash" w:eastAsia="Calibri" w:hAnsi="Century Bash"/>
                <w:b/>
              </w:rPr>
              <w:t>ОРТОСТАН РЕСПУБЛИКА</w:t>
            </w:r>
            <w:r>
              <w:rPr>
                <w:rFonts w:eastAsia="Calibri"/>
                <w:b/>
                <w:lang w:val="ba-RU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</w:rPr>
              <w:t>Ы</w:t>
            </w:r>
            <w:proofErr w:type="gramEnd"/>
          </w:p>
          <w:p w:rsidR="000B79A1" w:rsidRDefault="000B79A1" w:rsidP="00FA78FF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r>
              <w:rPr>
                <w:rFonts w:eastAsia="Calibri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  РАЙОНЫ </w:t>
            </w:r>
          </w:p>
          <w:p w:rsidR="000B79A1" w:rsidRDefault="000B79A1" w:rsidP="00FA78FF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lang w:val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АС  АУЫЛ </w:t>
            </w:r>
          </w:p>
          <w:p w:rsidR="000B79A1" w:rsidRDefault="000B79A1" w:rsidP="00FA78FF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eastAsia="Calibri"/>
                <w:b/>
                <w:lang w:val="ba-RU"/>
              </w:rPr>
              <w:t>Һ</w:t>
            </w:r>
            <w:r>
              <w:rPr>
                <w:rFonts w:ascii="Century Bash" w:eastAsia="Calibri" w:hAnsi="Century Bash"/>
                <w:b/>
              </w:rPr>
              <w:t>Е</w:t>
            </w:r>
          </w:p>
          <w:p w:rsidR="000B79A1" w:rsidRDefault="000B79A1" w:rsidP="00FA78FF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0B79A1" w:rsidRDefault="000B79A1" w:rsidP="00FA78FF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</w:rPr>
            </w:pPr>
          </w:p>
          <w:p w:rsidR="000B79A1" w:rsidRDefault="000B79A1" w:rsidP="00FA78F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0B79A1" w:rsidRDefault="000B79A1" w:rsidP="00FA78FF">
            <w:pPr>
              <w:ind w:left="-108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B79A1" w:rsidRDefault="000B79A1" w:rsidP="00FA78FF">
            <w:pPr>
              <w:jc w:val="center"/>
              <w:rPr>
                <w:rFonts w:eastAsia="Calibri"/>
                <w:b/>
                <w:caps/>
                <w:spacing w:val="6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</w:rPr>
              <w:t>СОВЕТ</w:t>
            </w:r>
          </w:p>
          <w:p w:rsidR="000B79A1" w:rsidRDefault="000B79A1" w:rsidP="00FA78FF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0B79A1" w:rsidRDefault="000B79A1" w:rsidP="00FA78FF">
            <w:pPr>
              <w:jc w:val="center"/>
              <w:rPr>
                <w:rFonts w:ascii="Century Bash" w:eastAsia="Calibri" w:hAnsi="Century Bash"/>
                <w:spacing w:val="6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0B79A1" w:rsidRDefault="000B79A1" w:rsidP="00FA78FF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r>
              <w:rPr>
                <w:rFonts w:eastAsia="Calibri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0B79A1" w:rsidRDefault="000B79A1" w:rsidP="00FA78FF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</w:rPr>
              <w:t xml:space="preserve"> РеспубликИ Башкортостан </w:t>
            </w:r>
          </w:p>
          <w:p w:rsidR="000B79A1" w:rsidRDefault="000B79A1" w:rsidP="00FA78FF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</w:rPr>
            </w:pPr>
          </w:p>
          <w:p w:rsidR="000B79A1" w:rsidRDefault="000B79A1" w:rsidP="00FA78FF">
            <w:pPr>
              <w:jc w:val="center"/>
              <w:rPr>
                <w:rFonts w:ascii="Century Bash" w:eastAsia="Calibri" w:hAnsi="Century Bash"/>
                <w:sz w:val="20"/>
                <w:szCs w:val="20"/>
                <w:lang w:eastAsia="en-US"/>
              </w:rPr>
            </w:pPr>
          </w:p>
        </w:tc>
      </w:tr>
    </w:tbl>
    <w:p w:rsidR="000B79A1" w:rsidRDefault="000B79A1" w:rsidP="000B79A1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0B79A1" w:rsidRDefault="000B79A1" w:rsidP="000B79A1">
      <w:pPr>
        <w:pStyle w:val="a6"/>
        <w:ind w:right="-108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КАРАР                                                                                          РЕШЕНИЕ</w:t>
      </w:r>
    </w:p>
    <w:p w:rsidR="000B79A1" w:rsidRDefault="000B79A1" w:rsidP="000B79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«19» ноябрь </w:t>
      </w:r>
      <w:r w:rsidRPr="005C43B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C43B1">
        <w:rPr>
          <w:b/>
          <w:bCs/>
          <w:sz w:val="28"/>
          <w:szCs w:val="28"/>
        </w:rPr>
        <w:t xml:space="preserve">й.                    № 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/18</w:t>
      </w:r>
      <w:r w:rsidRPr="005C43B1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</w:t>
      </w:r>
      <w:r w:rsidRPr="005C43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«19»  ноября</w:t>
      </w:r>
      <w:r w:rsidRPr="005C43B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C43B1">
        <w:rPr>
          <w:b/>
          <w:bCs/>
          <w:sz w:val="28"/>
          <w:szCs w:val="28"/>
        </w:rPr>
        <w:t>г</w:t>
      </w:r>
    </w:p>
    <w:p w:rsidR="000B79A1" w:rsidRPr="005C43B1" w:rsidRDefault="000B79A1" w:rsidP="000B79A1">
      <w:pPr>
        <w:rPr>
          <w:b/>
          <w:bCs/>
          <w:sz w:val="28"/>
          <w:szCs w:val="28"/>
        </w:rPr>
      </w:pPr>
      <w:bookmarkStart w:id="0" w:name="_GoBack"/>
      <w:bookmarkEnd w:id="0"/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A7756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A77568">
        <w:rPr>
          <w:b/>
          <w:sz w:val="28"/>
          <w:szCs w:val="28"/>
        </w:rPr>
        <w:t>Сандугачевский</w:t>
      </w:r>
      <w:proofErr w:type="spellEnd"/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A77568">
        <w:rPr>
          <w:b/>
          <w:sz w:val="28"/>
          <w:szCs w:val="28"/>
        </w:rPr>
        <w:t xml:space="preserve">08 ноября </w:t>
      </w:r>
      <w:r>
        <w:rPr>
          <w:b/>
          <w:sz w:val="28"/>
          <w:szCs w:val="28"/>
        </w:rPr>
        <w:t>2019</w:t>
      </w:r>
      <w:r w:rsidRPr="00030E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A775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/3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proofErr w:type="spellStart"/>
      <w:r w:rsidR="00A77568">
        <w:rPr>
          <w:sz w:val="28"/>
          <w:szCs w:val="28"/>
        </w:rPr>
        <w:t>Сандугачевский</w:t>
      </w:r>
      <w:proofErr w:type="spellEnd"/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proofErr w:type="spellStart"/>
      <w:r w:rsidR="00A77568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образовавшихся, переданных на транспортирование, обработку, обезвреживание, утилизацию или удаление </w:t>
      </w:r>
      <w:proofErr w:type="gramStart"/>
      <w:r w:rsidRPr="00EC4E2A">
        <w:rPr>
          <w:sz w:val="28"/>
          <w:szCs w:val="28"/>
        </w:rPr>
        <w:t xml:space="preserve">( </w:t>
      </w:r>
      <w:proofErr w:type="gramEnd"/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F81">
        <w:rPr>
          <w:sz w:val="28"/>
          <w:szCs w:val="28"/>
        </w:rPr>
        <w:t xml:space="preserve">Места временного хранения </w:t>
      </w:r>
      <w:proofErr w:type="gramStart"/>
      <w:r w:rsidR="006F7F81">
        <w:rPr>
          <w:sz w:val="28"/>
          <w:szCs w:val="28"/>
        </w:rPr>
        <w:t xml:space="preserve">( </w:t>
      </w:r>
      <w:proofErr w:type="gramEnd"/>
      <w:r w:rsidR="006F7F81">
        <w:rPr>
          <w:sz w:val="28"/>
          <w:szCs w:val="28"/>
        </w:rPr>
        <w:t>складирования) строительных о</w:t>
      </w:r>
      <w:r w:rsidR="00A77568">
        <w:rPr>
          <w:sz w:val="28"/>
          <w:szCs w:val="28"/>
        </w:rPr>
        <w:t>тходов ( далее – места хранения</w:t>
      </w:r>
      <w:r w:rsidR="006F7F81">
        <w:rPr>
          <w:sz w:val="28"/>
          <w:szCs w:val="28"/>
        </w:rPr>
        <w:t xml:space="preserve">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813">
        <w:rPr>
          <w:sz w:val="28"/>
          <w:szCs w:val="28"/>
        </w:rPr>
        <w:t xml:space="preserve">размер </w:t>
      </w:r>
      <w:proofErr w:type="gramStart"/>
      <w:r w:rsidR="00986813">
        <w:rPr>
          <w:sz w:val="28"/>
          <w:szCs w:val="28"/>
        </w:rPr>
        <w:t xml:space="preserve">( </w:t>
      </w:r>
      <w:proofErr w:type="gramEnd"/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автотранспорт для их удаления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хранении строительных отходов в нестационарных складах, на открытых площадках без тары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поверхность хранящихся насыпью строительных отходов должна быть защищена от воздействия атмосферных осадков и ветров </w:t>
      </w:r>
      <w:proofErr w:type="gramStart"/>
      <w:r w:rsidR="00E06D4C">
        <w:rPr>
          <w:sz w:val="28"/>
          <w:szCs w:val="28"/>
        </w:rPr>
        <w:t xml:space="preserve">( </w:t>
      </w:r>
      <w:proofErr w:type="gramEnd"/>
      <w:r w:rsidR="00E06D4C">
        <w:rPr>
          <w:sz w:val="28"/>
          <w:szCs w:val="28"/>
        </w:rPr>
        <w:t>укрыты брезентом, оборудованы навесом и т.д.);</w:t>
      </w:r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водонепроницаемом и химически стойким покрытием </w:t>
      </w:r>
      <w:proofErr w:type="gramStart"/>
      <w:r w:rsidR="00D131C6">
        <w:rPr>
          <w:sz w:val="28"/>
          <w:szCs w:val="28"/>
        </w:rPr>
        <w:t xml:space="preserve">( </w:t>
      </w:r>
      <w:proofErr w:type="gramEnd"/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наименования (вида) собираемого отхода;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  <w:proofErr w:type="gramEnd"/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вновь вводимых в эксплуатацию домов обязательно осуществить организацию места временного накопления строительных отходов сроком не менее 1 года (на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F22A1F">
        <w:rPr>
          <w:sz w:val="28"/>
          <w:szCs w:val="28"/>
        </w:rPr>
        <w:t xml:space="preserve">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 xml:space="preserve">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к твердым коммунальным </w:t>
      </w:r>
      <w:proofErr w:type="gramStart"/>
      <w:r w:rsidR="00FF3FEA">
        <w:rPr>
          <w:sz w:val="28"/>
          <w:szCs w:val="28"/>
        </w:rPr>
        <w:t xml:space="preserve">( </w:t>
      </w:r>
      <w:proofErr w:type="gramEnd"/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="00AA065E" w:rsidRPr="00AA065E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AA065E" w:rsidRPr="00AA065E">
        <w:rPr>
          <w:sz w:val="28"/>
          <w:szCs w:val="28"/>
        </w:rPr>
        <w:t>Сандугачевский</w:t>
      </w:r>
      <w:proofErr w:type="spellEnd"/>
      <w:r w:rsidR="00AA065E" w:rsidRPr="00AA065E">
        <w:rPr>
          <w:sz w:val="28"/>
          <w:szCs w:val="28"/>
        </w:rPr>
        <w:t xml:space="preserve"> сельсовет муниципального района </w:t>
      </w:r>
      <w:proofErr w:type="spellStart"/>
      <w:r w:rsidR="00AA065E" w:rsidRPr="00AA065E">
        <w:rPr>
          <w:sz w:val="28"/>
          <w:szCs w:val="28"/>
        </w:rPr>
        <w:t>Янаульский</w:t>
      </w:r>
      <w:proofErr w:type="spellEnd"/>
      <w:r w:rsidR="00AA065E" w:rsidRPr="00AA065E"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="00AA065E" w:rsidRPr="00AA065E">
        <w:rPr>
          <w:sz w:val="28"/>
          <w:szCs w:val="28"/>
        </w:rPr>
        <w:t>Янаульский</w:t>
      </w:r>
      <w:proofErr w:type="spellEnd"/>
      <w:r w:rsidR="00AA065E" w:rsidRPr="00AA065E">
        <w:rPr>
          <w:sz w:val="28"/>
          <w:szCs w:val="28"/>
        </w:rPr>
        <w:t xml:space="preserve"> район, с. </w:t>
      </w:r>
      <w:proofErr w:type="spellStart"/>
      <w:r w:rsidR="00AA065E" w:rsidRPr="00AA065E">
        <w:rPr>
          <w:sz w:val="28"/>
          <w:szCs w:val="28"/>
        </w:rPr>
        <w:t>Сандугач</w:t>
      </w:r>
      <w:proofErr w:type="spellEnd"/>
      <w:r w:rsidR="00AA065E" w:rsidRPr="00AA065E">
        <w:rPr>
          <w:sz w:val="28"/>
          <w:szCs w:val="28"/>
        </w:rPr>
        <w:t xml:space="preserve">, ул. </w:t>
      </w:r>
      <w:proofErr w:type="spellStart"/>
      <w:r w:rsidR="00AA065E" w:rsidRPr="00AA065E">
        <w:rPr>
          <w:sz w:val="28"/>
          <w:szCs w:val="28"/>
        </w:rPr>
        <w:t>К.Садретдинова</w:t>
      </w:r>
      <w:proofErr w:type="spellEnd"/>
      <w:r w:rsidR="00AA065E" w:rsidRPr="00AA065E">
        <w:rPr>
          <w:sz w:val="28"/>
          <w:szCs w:val="28"/>
        </w:rPr>
        <w:t xml:space="preserve">, д.5 и разместить на  сайте  сельского поселения </w:t>
      </w:r>
      <w:proofErr w:type="spellStart"/>
      <w:r w:rsidR="00AA065E" w:rsidRPr="00AA065E">
        <w:rPr>
          <w:sz w:val="28"/>
          <w:szCs w:val="28"/>
        </w:rPr>
        <w:t>Сандугачевский</w:t>
      </w:r>
      <w:proofErr w:type="spellEnd"/>
      <w:r w:rsidR="00AA065E" w:rsidRPr="00AA065E">
        <w:rPr>
          <w:sz w:val="28"/>
          <w:szCs w:val="28"/>
        </w:rPr>
        <w:t xml:space="preserve"> сельсовет муниципального района </w:t>
      </w:r>
      <w:proofErr w:type="spellStart"/>
      <w:r w:rsidR="00AA065E" w:rsidRPr="00AA065E">
        <w:rPr>
          <w:sz w:val="28"/>
          <w:szCs w:val="28"/>
        </w:rPr>
        <w:t>Янаульский</w:t>
      </w:r>
      <w:proofErr w:type="spellEnd"/>
      <w:r w:rsidR="00AA065E" w:rsidRPr="00AA065E">
        <w:rPr>
          <w:sz w:val="28"/>
          <w:szCs w:val="28"/>
        </w:rPr>
        <w:t xml:space="preserve"> район Республики Башкортостан по адресу: </w:t>
      </w:r>
      <w:hyperlink r:id="rId7" w:history="1">
        <w:r w:rsidR="00AA065E" w:rsidRPr="00AA065E">
          <w:rPr>
            <w:rStyle w:val="a3"/>
            <w:iCs/>
            <w:sz w:val="28"/>
            <w:szCs w:val="28"/>
            <w:lang w:val="en-US"/>
          </w:rPr>
          <w:t>http</w:t>
        </w:r>
        <w:r w:rsidR="00AA065E" w:rsidRPr="00AA065E">
          <w:rPr>
            <w:rStyle w:val="a3"/>
            <w:iCs/>
            <w:sz w:val="28"/>
            <w:szCs w:val="28"/>
          </w:rPr>
          <w:t>://</w:t>
        </w:r>
        <w:proofErr w:type="spellStart"/>
        <w:r w:rsidR="00AA065E" w:rsidRPr="00AA065E">
          <w:rPr>
            <w:rStyle w:val="a3"/>
            <w:iCs/>
            <w:sz w:val="28"/>
            <w:szCs w:val="28"/>
            <w:lang w:val="en-US"/>
          </w:rPr>
          <w:t>sp</w:t>
        </w:r>
        <w:proofErr w:type="spellEnd"/>
        <w:r w:rsidR="00AA065E" w:rsidRPr="00AA065E">
          <w:rPr>
            <w:rStyle w:val="a3"/>
            <w:iCs/>
            <w:sz w:val="28"/>
            <w:szCs w:val="28"/>
          </w:rPr>
          <w:t>-</w:t>
        </w:r>
        <w:proofErr w:type="spellStart"/>
        <w:r w:rsidR="00AA065E" w:rsidRPr="00AA065E">
          <w:rPr>
            <w:rStyle w:val="a3"/>
            <w:iCs/>
            <w:sz w:val="28"/>
            <w:szCs w:val="28"/>
            <w:lang w:val="en-US"/>
          </w:rPr>
          <w:t>sandugach</w:t>
        </w:r>
        <w:proofErr w:type="spellEnd"/>
        <w:r w:rsidR="00AA065E" w:rsidRPr="00AA065E">
          <w:rPr>
            <w:rStyle w:val="a3"/>
            <w:iCs/>
            <w:sz w:val="28"/>
            <w:szCs w:val="28"/>
          </w:rPr>
          <w:t>.</w:t>
        </w:r>
        <w:proofErr w:type="spellStart"/>
        <w:r w:rsidR="00AA065E" w:rsidRPr="00AA065E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Pr="00AA065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AA065E">
        <w:rPr>
          <w:sz w:val="28"/>
          <w:szCs w:val="28"/>
        </w:rPr>
        <w:t>Т.Ш.Куснияров</w:t>
      </w:r>
      <w:proofErr w:type="spellEnd"/>
    </w:p>
    <w:p w:rsidR="0056097F" w:rsidRDefault="0056097F"/>
    <w:sectPr w:rsidR="0056097F" w:rsidSect="00CA61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97F"/>
    <w:rsid w:val="000B79A1"/>
    <w:rsid w:val="0012196F"/>
    <w:rsid w:val="001321F7"/>
    <w:rsid w:val="00210DCD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803439"/>
    <w:rsid w:val="008D7C5C"/>
    <w:rsid w:val="009341E1"/>
    <w:rsid w:val="00953D22"/>
    <w:rsid w:val="00986813"/>
    <w:rsid w:val="009D5DC3"/>
    <w:rsid w:val="00A40F41"/>
    <w:rsid w:val="00A436DB"/>
    <w:rsid w:val="00A77568"/>
    <w:rsid w:val="00AA065E"/>
    <w:rsid w:val="00AB0BC9"/>
    <w:rsid w:val="00AD38F3"/>
    <w:rsid w:val="00B34215"/>
    <w:rsid w:val="00C25BFB"/>
    <w:rsid w:val="00C33C40"/>
    <w:rsid w:val="00C34C2E"/>
    <w:rsid w:val="00CC0DB8"/>
    <w:rsid w:val="00CC3CC8"/>
    <w:rsid w:val="00D131C6"/>
    <w:rsid w:val="00D85196"/>
    <w:rsid w:val="00E06D4C"/>
    <w:rsid w:val="00E94600"/>
    <w:rsid w:val="00EC1FEC"/>
    <w:rsid w:val="00EC4E2A"/>
    <w:rsid w:val="00F22A1F"/>
    <w:rsid w:val="00FA6105"/>
    <w:rsid w:val="00FB1E4A"/>
    <w:rsid w:val="00FE13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semiHidden/>
    <w:unhideWhenUsed/>
    <w:rsid w:val="00AA06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6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B79A1"/>
    <w:pPr>
      <w:snapToGrid w:val="0"/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0B79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-sandugac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5722-FD69-4860-9535-2E905D5B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1</cp:lastModifiedBy>
  <cp:revision>70</cp:revision>
  <cp:lastPrinted>2020-11-18T04:35:00Z</cp:lastPrinted>
  <dcterms:created xsi:type="dcterms:W3CDTF">2020-10-28T05:51:00Z</dcterms:created>
  <dcterms:modified xsi:type="dcterms:W3CDTF">2020-11-19T09:43:00Z</dcterms:modified>
</cp:coreProperties>
</file>